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Тэхнічнае заданне на стварэнне цыкла відэаролікаў для адукацыйнай платформы “Васьміног”</w:t>
      </w:r>
    </w:p>
    <w:p w:rsidR="00000000" w:rsidDel="00000000" w:rsidP="00000000" w:rsidRDefault="00000000" w:rsidRPr="00000000" w14:paraId="00000004">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br w:type="textWrapping"/>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2.931978985987"/>
        <w:gridCol w:w="3809.500230854662"/>
        <w:gridCol w:w="2093.0796011829743"/>
        <w:tblGridChange w:id="0">
          <w:tblGrid>
            <w:gridCol w:w="3122.931978985987"/>
            <w:gridCol w:w="3809.500230854662"/>
            <w:gridCol w:w="2093.0796011829743"/>
          </w:tblGrid>
        </w:tblGridChange>
      </w:tblGrid>
      <w:tr>
        <w:trPr>
          <w:cantSplit w:val="0"/>
          <w:trHeight w:val="530" w:hRule="atLeast"/>
          <w:tblHeader w:val="0"/>
        </w:trPr>
        <w:tc>
          <w:tcPr>
            <w:tcBorders>
              <w:top w:color="000000" w:space="0" w:sz="5" w:val="single"/>
              <w:left w:color="000000" w:space="0" w:sz="5" w:val="single"/>
              <w:bottom w:color="000000" w:space="0" w:sz="5" w:val="single"/>
              <w:right w:color="000000" w:space="0" w:sz="5"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5">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Від работ</w:t>
            </w:r>
          </w:p>
        </w:tc>
        <w:tc>
          <w:tcPr>
            <w:tcBorders>
              <w:top w:color="000000" w:space="0" w:sz="5" w:val="single"/>
              <w:left w:color="000000" w:space="0" w:sz="0" w:val="nil"/>
              <w:bottom w:color="000000" w:space="0" w:sz="5" w:val="single"/>
              <w:right w:color="000000" w:space="0" w:sz="5"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6">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Апісанне</w:t>
            </w:r>
          </w:p>
        </w:tc>
        <w:tc>
          <w:tcPr>
            <w:tcBorders>
              <w:top w:color="000000" w:space="0" w:sz="5" w:val="single"/>
              <w:left w:color="000000" w:space="0" w:sz="0" w:val="nil"/>
              <w:bottom w:color="000000" w:space="0" w:sz="5" w:val="single"/>
              <w:right w:color="000000" w:space="0" w:sz="5"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Тэрмін выканання</w:t>
            </w:r>
          </w:p>
        </w:tc>
      </w:tr>
      <w:tr>
        <w:trPr>
          <w:cantSplit w:val="0"/>
          <w:trHeight w:val="716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Адукацыйныя відэа для платформы https://vasminoh.school/</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“Пазакласнае навучанне” (серыя з 15 ролікаў працягласцю 10-15 хв. кожны).</w:t>
              <w:br w:type="textWrapping"/>
              <w:br w:type="textWrapping"/>
              <w:t xml:space="preserve">Прадукцыя 15 відэаролікаў, у якіх спалучыліся б асветніцкія задачы з прасоўваннем здабыткаў сучаснай беларускай культуры. Ад выканаўцаў відэакантэнту чакаецца стварэнне цыклу відэа, якое можна аднесці да катэгорыі “пазакласнага” навучання для школьнікаў старэйшых класаў. Цыкл ролікаў мае кампенсаваць недахопы праграмы афіцыйнай беларускай школы (ідэалагізацыя, забарона некаторых беларусацэнтрычных тэм, культывацыя мілітарысцкіх установак, распаўсюд каланіяльных наратываў і г.д.).</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Да 20.01.2024 - прыём прапановаў.</w:t>
            </w:r>
          </w:p>
          <w:p w:rsidR="00000000" w:rsidDel="00000000" w:rsidP="00000000" w:rsidRDefault="00000000" w:rsidRPr="00000000" w14:paraId="0000000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Да 31.01.2024 - адбор падрадчыка. </w:t>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rtl w:val="0"/>
              </w:rPr>
              <w:br w:type="textWrapping"/>
              <w:t xml:space="preserve">Выраб ролікаў - люты-сакавік 2024 года.</w:t>
            </w:r>
          </w:p>
          <w:p w:rsidR="00000000" w:rsidDel="00000000" w:rsidP="00000000" w:rsidRDefault="00000000" w:rsidRPr="00000000" w14:paraId="0000000F">
            <w:pPr>
              <w:spacing w:after="240" w:before="240" w:lineRule="auto"/>
              <w:rPr>
                <w:rFonts w:ascii="Calibri" w:cs="Calibri" w:eastAsia="Calibri" w:hAnsi="Calibri"/>
              </w:rPr>
            </w:pPr>
            <w:r w:rsidDel="00000000" w:rsidR="00000000" w:rsidRPr="00000000">
              <w:rPr>
                <w:rFonts w:ascii="Calibri" w:cs="Calibri" w:eastAsia="Calibri" w:hAnsi="Calibri"/>
                <w:rtl w:val="0"/>
              </w:rPr>
              <w:br w:type="textWrapping"/>
              <w:t xml:space="preserve">Размяшчэнне на сайце vasminoh.school - 1 красавіка 2024 года.</w:t>
            </w:r>
          </w:p>
          <w:p w:rsidR="00000000" w:rsidDel="00000000" w:rsidP="00000000" w:rsidRDefault="00000000" w:rsidRPr="00000000" w14:paraId="00000010">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 </w:t>
            </w:r>
          </w:p>
        </w:tc>
      </w:tr>
      <w:tr>
        <w:trPr>
          <w:cantSplit w:val="0"/>
          <w:trHeight w:val="590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Мэта ініцыятывы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Мэта гэтай ініцыятывы — стварыць захапляльную серыю міні-лекцый па 10-15 хвілін кожная з удзелам паважаных асоб, якія падзеляцца сваімі ведамі і захапленнем беларускай культурай, гісторыяй і мовай. </w:t>
            </w:r>
          </w:p>
          <w:p w:rsidR="00000000" w:rsidDel="00000000" w:rsidP="00000000" w:rsidRDefault="00000000" w:rsidRPr="00000000" w14:paraId="0000001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З дапамогай гэтых займальных і пазнавальных заняткаў мы імкнёмся натхніць маладое пакаленне, заахвочваючы яго даследаваць і прымаць свае культурныя карані, паляпшаць разуменне мінулага і сучаснасці Беларусі, а таксама выхоўваць пачуццё гонару і сувязі са сваёй мовай і традыцыямі.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89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Распрацоўка кантэнту</w:t>
              <w:br w:type="textWrapping"/>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Тэматыка павінна ахопліваць шырокі спектр тэм, звязаных з беларускай культурай, гісторыяй і мовай.</w:t>
            </w:r>
          </w:p>
          <w:p w:rsidR="00000000" w:rsidDel="00000000" w:rsidP="00000000" w:rsidRDefault="00000000" w:rsidRPr="00000000" w14:paraId="0000001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Кожная лекцыя павінна адпавядаць узросту і быць цікавай для дзяцей і падлеткаў.</w:t>
            </w:r>
          </w:p>
          <w:p w:rsidR="00000000" w:rsidDel="00000000" w:rsidP="00000000" w:rsidRDefault="00000000" w:rsidRPr="00000000" w14:paraId="0000001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Змест павінен быць факталагічным, натхняльным і закліканым выклікаць цікаўнасць і жаданне далейшага навучання.</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72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rFonts w:ascii="Calibri" w:cs="Calibri" w:eastAsia="Calibri" w:hAnsi="Calibri"/>
              </w:rPr>
            </w:pPr>
            <w:r w:rsidDel="00000000" w:rsidR="00000000" w:rsidRPr="00000000">
              <w:rPr>
                <w:rtl w:val="0"/>
              </w:rPr>
              <w:br w:type="textWrapping"/>
              <w:br w:type="textWrapping"/>
            </w:r>
            <w:r w:rsidDel="00000000" w:rsidR="00000000" w:rsidRPr="00000000">
              <w:rPr>
                <w:rFonts w:ascii="Calibri" w:cs="Calibri" w:eastAsia="Calibri" w:hAnsi="Calibri"/>
                <w:rtl w:val="0"/>
              </w:rPr>
              <w:t xml:space="preserve">Кіраўніцтва па вытворчасці</w:t>
              <w:br w:type="textWrapping"/>
              <w:br w:type="textWrapping"/>
              <w:br w:type="textWrapping"/>
              <w:br w:type="textWrapping"/>
              <w:br w:type="textWrapping"/>
              <w:br w:type="textWrapping"/>
              <w:br w:type="textWrapping"/>
              <w:br w:type="textWrapping"/>
              <w:br w:type="textWrapping"/>
              <w:br w:type="textWrapping"/>
              <w:br w:type="textWrapping"/>
              <w:br w:type="textWrapping"/>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Кожнае відэа павінна быць працягласцю ад 10 да 15 хвілін, мець высокую якасць і быць даступным для шырокай аўдыторыі. </w:t>
            </w:r>
          </w:p>
          <w:p w:rsidR="00000000" w:rsidDel="00000000" w:rsidP="00000000" w:rsidRDefault="00000000" w:rsidRPr="00000000" w14:paraId="0000001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 Відэаролікі павінны быць зроблены ў стылі, прывабным для дзяцей і падлеткаў, з выкарыстаннем наглядных дапаможнікаў, анімацыі або іншых прывабных элементаў.</w:t>
            </w:r>
          </w:p>
          <w:p w:rsidR="00000000" w:rsidDel="00000000" w:rsidP="00000000" w:rsidRDefault="00000000" w:rsidRPr="00000000" w14:paraId="0000001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 Прасоўванне гатовай прадукцыі як з дапамогай уласных магчымасцей, так пры падтрымцы рэсурсаў “Васьмінога”. </w:t>
            </w:r>
          </w:p>
          <w:p w:rsidR="00000000" w:rsidDel="00000000" w:rsidP="00000000" w:rsidRDefault="00000000" w:rsidRPr="00000000" w14:paraId="0000002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 Далучэнне да працэсу стварэння відэа дзеячаў беларускай культуры.</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92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Мэтавая аўдыторыя</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Беларускія дзеці старэйшага падлеткавага ўзросту (15-18-гадоў) і сем'і ў эміграцыі, зацікаўленыя ў захаванні беларускай ідэнтычнасці</w:t>
            </w:r>
          </w:p>
          <w:p w:rsidR="00000000" w:rsidDel="00000000" w:rsidP="00000000" w:rsidRDefault="00000000" w:rsidRPr="00000000" w14:paraId="0000002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15" w:hRule="atLeast"/>
          <w:tblHeader w:val="0"/>
        </w:trPr>
        <w:tc>
          <w:tcPr>
            <w:tcBorders>
              <w:top w:color="000000" w:space="0" w:sz="0" w:val="nil"/>
              <w:left w:color="000000" w:space="0" w:sz="5" w:val="single"/>
              <w:bottom w:color="000000" w:space="0" w:sz="5" w:val="single"/>
              <w:right w:color="000000" w:space="0" w:sz="5"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Пералік прац</w:t>
            </w:r>
          </w:p>
        </w:tc>
        <w:tc>
          <w:tcPr>
            <w:tcBorders>
              <w:top w:color="000000" w:space="0" w:sz="0" w:val="nil"/>
              <w:left w:color="000000" w:space="0" w:sz="0" w:val="nil"/>
              <w:bottom w:color="000000" w:space="0" w:sz="5" w:val="single"/>
              <w:right w:color="000000" w:space="0" w:sz="5"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Чаканыя вынікі</w:t>
            </w:r>
          </w:p>
        </w:tc>
        <w:tc>
          <w:tcPr>
            <w:tcBorders>
              <w:top w:color="000000" w:space="0" w:sz="0" w:val="nil"/>
              <w:left w:color="000000" w:space="0" w:sz="0" w:val="nil"/>
              <w:bottom w:color="000000" w:space="0" w:sz="5" w:val="single"/>
              <w:right w:color="000000" w:space="0" w:sz="5"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Тэрміны выканання</w:t>
            </w:r>
          </w:p>
        </w:tc>
      </w:tr>
      <w:tr>
        <w:trPr>
          <w:cantSplit w:val="0"/>
          <w:trHeight w:val="197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Падрадчык стварае сцэнары для стварэння 15 відэаролікаў, хранаметраж 10-15 хвілін, каляровых, з выкарыстаннем графікі, з агучкай.</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jc w:val="center"/>
              <w:rPr>
                <w:rFonts w:ascii="Calibri" w:cs="Calibri" w:eastAsia="Calibri" w:hAnsi="Calibri"/>
              </w:rPr>
            </w:pPr>
            <w:r w:rsidDel="00000000" w:rsidR="00000000" w:rsidRPr="00000000">
              <w:rPr>
                <w:rFonts w:ascii="Calibri" w:cs="Calibri" w:eastAsia="Calibri" w:hAnsi="Calibri"/>
                <w:rtl w:val="0"/>
              </w:rPr>
              <w:t xml:space="preserve">Сцэнары 15 ролікаў</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Да 29 лютага 2023 года</w:t>
            </w:r>
          </w:p>
        </w:tc>
      </w:tr>
      <w:tr>
        <w:trPr>
          <w:cantSplit w:val="0"/>
          <w:trHeight w:val="341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rPr>
                <w:rFonts w:ascii="Calibri" w:cs="Calibri" w:eastAsia="Calibri" w:hAnsi="Calibri"/>
                <w:i w:val="1"/>
              </w:rPr>
            </w:pPr>
            <w:r w:rsidDel="00000000" w:rsidR="00000000" w:rsidRPr="00000000">
              <w:rPr>
                <w:rFonts w:ascii="Calibri" w:cs="Calibri" w:eastAsia="Calibri" w:hAnsi="Calibri"/>
                <w:rtl w:val="0"/>
              </w:rPr>
              <w:t xml:space="preserve">Падрадчык выконвае 15 відэаролікаў згодна зацверджаным сцэнарам у фармаце, які дае магчымасць прагляду відэа ў сацсетках і на платформе youtube.com</w:t>
              <w:br w:type="textWrapping"/>
              <w:br w:type="textWrapping"/>
              <w:t xml:space="preserve"> </w:t>
            </w:r>
            <w:r w:rsidDel="00000000" w:rsidR="00000000" w:rsidRPr="00000000">
              <w:rPr>
                <w:rFonts w:ascii="Calibri" w:cs="Calibri" w:eastAsia="Calibri" w:hAnsi="Calibri"/>
                <w:i w:val="1"/>
                <w:rtl w:val="0"/>
              </w:rPr>
              <w:t xml:space="preserve">Патрабаванні да відэа:</w:t>
              <w:br w:type="textWrapping"/>
              <w:t xml:space="preserve"> відэаролікі ў фармаце Full HD 1080</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15 змантаваных відэаролікаў у версіях, адаптаваных для размяшчэння ў Інтэрнэце, з лагатыпамі адукацыйнага праекту “Васьміног” і Еўракамісіі.</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Да 1 красавіка 2024 года.</w:t>
            </w:r>
          </w:p>
          <w:p w:rsidR="00000000" w:rsidDel="00000000" w:rsidP="00000000" w:rsidRDefault="00000000" w:rsidRPr="00000000" w14:paraId="0000002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3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0000000000002" w:top="1440.0000000000002" w:left="1440.0000000000002" w:right="1440.0000000000002"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jc w:val="center"/>
      <w:rPr>
        <w:sz w:val="20"/>
        <w:szCs w:val="20"/>
      </w:rPr>
    </w:pPr>
    <w:r w:rsidDel="00000000" w:rsidR="00000000" w:rsidRPr="00000000">
      <w:rPr>
        <w:rtl w:val="0"/>
      </w:rPr>
    </w:r>
  </w:p>
  <w:p w:rsidR="00000000" w:rsidDel="00000000" w:rsidP="00000000" w:rsidRDefault="00000000" w:rsidRPr="00000000" w14:paraId="00000037">
    <w:pPr>
      <w:jc w:val="center"/>
      <w:rPr>
        <w:sz w:val="20"/>
        <w:szCs w:val="20"/>
      </w:rPr>
    </w:pPr>
    <w:hyperlink r:id="rId1">
      <w:r w:rsidDel="00000000" w:rsidR="00000000" w:rsidRPr="00000000">
        <w:rPr>
          <w:rFonts w:ascii="Helvetica Neue" w:cs="Helvetica Neue" w:eastAsia="Helvetica Neue" w:hAnsi="Helvetica Neue"/>
          <w:color w:val="1155cc"/>
          <w:sz w:val="20"/>
          <w:szCs w:val="20"/>
          <w:u w:val="single"/>
          <w:rtl w:val="0"/>
        </w:rPr>
        <w:t xml:space="preserve">vasminoh.school@gmail.com</w:t>
      </w:r>
    </w:hyperlink>
    <w:r w:rsidDel="00000000" w:rsidR="00000000" w:rsidRPr="00000000">
      <w:rPr>
        <w:rFonts w:ascii="Helvetica Neue" w:cs="Helvetica Neue" w:eastAsia="Helvetica Neue" w:hAnsi="Helvetica Neue"/>
        <w:sz w:val="20"/>
        <w:szCs w:val="20"/>
        <w:rtl w:val="0"/>
      </w:rPr>
      <w:br w:type="textWrapping"/>
    </w:r>
    <w:hyperlink r:id="rId2">
      <w:r w:rsidDel="00000000" w:rsidR="00000000" w:rsidRPr="00000000">
        <w:rPr>
          <w:color w:val="1155cc"/>
          <w:sz w:val="20"/>
          <w:szCs w:val="20"/>
          <w:u w:val="single"/>
          <w:rtl w:val="0"/>
        </w:rPr>
        <w:t xml:space="preserve">vasminoh.school</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rFonts w:ascii="Ubuntu" w:cs="Ubuntu" w:eastAsia="Ubuntu" w:hAnsi="Ubuntu"/>
      </w:rPr>
    </w:pPr>
    <w:r w:rsidDel="00000000" w:rsidR="00000000" w:rsidRPr="00000000">
      <w:rPr>
        <w:rFonts w:ascii="Ubuntu" w:cs="Ubuntu" w:eastAsia="Ubuntu" w:hAnsi="Ubuntu"/>
        <w:sz w:val="20"/>
        <w:szCs w:val="20"/>
        <w:rtl w:val="0"/>
      </w:rPr>
      <w:t xml:space="preserve">vasminoh.school@gmail.com</w:t>
    </w:r>
    <w:r w:rsidDel="00000000" w:rsidR="00000000" w:rsidRPr="00000000">
      <w:rPr>
        <w:rtl w:val="0"/>
      </w:rPr>
    </w:r>
  </w:p>
  <w:p w:rsidR="00000000" w:rsidDel="00000000" w:rsidP="00000000" w:rsidRDefault="00000000" w:rsidRPr="00000000" w14:paraId="0000003B">
    <w:pPr>
      <w:rPr>
        <w:rFonts w:ascii="Ubuntu" w:cs="Ubuntu" w:eastAsia="Ubuntu" w:hAnsi="Ubuntu"/>
      </w:rPr>
    </w:pPr>
    <w:hyperlink r:id="rId1">
      <w:r w:rsidDel="00000000" w:rsidR="00000000" w:rsidRPr="00000000">
        <w:rPr>
          <w:rFonts w:ascii="Ubuntu" w:cs="Ubuntu" w:eastAsia="Ubuntu" w:hAnsi="Ubuntu"/>
          <w:color w:val="1155cc"/>
          <w:u w:val="single"/>
          <w:rtl w:val="0"/>
        </w:rPr>
        <w:t xml:space="preserve">vasminoh.school</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drawing>
        <wp:inline distB="114300" distT="114300" distL="114300" distR="114300">
          <wp:extent cx="2690813" cy="78320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90813" cy="78320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drawing>
        <wp:inline distB="114300" distT="114300" distL="114300" distR="114300">
          <wp:extent cx="1484475" cy="147750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84475" cy="14775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vasminoh.school@gmail.com" TargetMode="External"/><Relationship Id="rId2" Type="http://schemas.openxmlformats.org/officeDocument/2006/relationships/hyperlink" Target="https://vasminoh.schoo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vasminoh.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